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675" w:rsidRPr="00FE3675" w:rsidRDefault="00FE3675" w:rsidP="00FE3675">
      <w:pPr>
        <w:shd w:val="clear" w:color="auto" w:fill="FFFFFF"/>
        <w:spacing w:after="0" w:line="240" w:lineRule="auto"/>
        <w:ind w:left="-15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GoBack"/>
      <w:r w:rsidRPr="00FE3675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Вассенаарська домовленість</w:t>
      </w:r>
    </w:p>
    <w:bookmarkEnd w:id="0"/>
    <w:p w:rsidR="00FE3675" w:rsidRPr="00FE3675" w:rsidRDefault="00FE3675" w:rsidP="00FE3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 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Вассенаарська домовленість є неформальною міжнародною організацією  для контролю звичайних озброєнь (товарів військового призначення, далі – ТВП) та пов'язаних з ними товарів подвійного використання (далі - ТПВ).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  створення Вассенаарської домовленості (далі - ВД)  офіційно було проголошено 19 грудня 1995 року після проведення відповідного засідання на найвищому рівні, в якому взяли участь 28 держав. Це був перший багатосторонній режим, якій охоплював як звичайні види озброєнь, так і пов’язані з ними „чутливі” товари подвійного використання.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 створення нового режиму офіційно було проголошено у декларації в Гаазі.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Протягом 2 – 3 квітня 1996 року до режиму приєдналися Аргентина, Республіка Корея та Румунія, а 11 – 12 липня 1996 року -  Болгарія та Україна  як члени-засновники.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ВД офіційно почала функціонувати з липня 1996 року як режим, заснований 33 державами, що досягли консенсусу щодо Початкових елементів ВД (основного документа ВД) та прийняли рішення про введення з 1 листопада 1996 року на національних рівнях Контрольних списків та процедури інформаційного обміну.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 заяві для преси було підкреслено, що ця домовленість не буде спрямована проти будь-якої держави або групи держав та не перешкоджатиме чесним цивільним трансакціям, а також те, що вона не буде втручатися у право держав придбавати законні засоби, призначені для самооборони згідно зі статтею 51 Статуту Організації Об’єднаних Націй, а рішення стосовно передачі або відмови у передачі будь-якого предмету становитиме відповідальність кожної держави-учасниці. 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Метою ВД стало сприяння регіональній безпеці та стабільності,  сприяння прозорості передач звичайних озброєнь та пов'язаних з ними товарів подвійного використання, прийняття державами-учасницями відповідних зобов'язань щодо процедур здійснення передач таких товарів. Ця організація сприяє підвищенню рівня співробітництва між державами-учасницями з метою відвертання придбання озброєнь та чутливих товарів подвійного використання для цілей військового кінцевого використання тоді, коли ситуація в регіоні або поведінка держави-отримувача цих предметів є або стає причиною серйозного занепокоєння держав-учасниць ВД.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Держави-учасниці ВД ухвалили документ, що визначає правила експорту стрілецької зброї та легких озброєнь. Ці правила поєднують елементи прийнятої ООН у 2001 році Програми дії із запобігання, протидії та викорінення незаконної торгівлі стрілецькою зброєю і легкими озброєннями, а також документа ОБСЄ 2001 року про стрілецьку зброю і легкі озброєння.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Визнаючи загрози, які становлять несанкціоноване розповсюдження та використання переносних зенітно-ракетних комплексів (ПЗРК, особливо для цивільної авіації, операцій з підтримання миру, врегулювання криз та антитерористичних операцій, держави-учасниці ВД, починаючи з 2000 року, застосовують суворий національний контроль за експортом ПЗРК.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Основою такого контролю є прийняті Пленумом ВД „Елементи  експортного контролю за переносними зенітно-ракетними комплексами (ПЗРК)”.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Ці елементи охоплюють ракетні комплекси класу „поверхня-повітря”, спеціально сконструйовані для перенесення та використання однією особою, та інші ракетні комплекси класу „поверхня-повітря”, спеціально сконструйовані для обслуговування та використання кількома особами, які діють як окремий розрахунок; крім цього ці комплекси можуть переноситися лише кількома особами.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Засоби національного експортного контролю застосовуються кожною з держав-учасниць ВД до міжнародних передач або передач третій стороні ПЗРК, включаючи повні комплекси, складові частини, запасні частини, моделі, тренажери та симулятори для будь-яких цілей, у будь-який спосіб, включаючи їх ліцензований експорт, продаж, безкоштовну передачу, тимчасове користування, оренду, </w:t>
      </w:r>
      <w:proofErr w:type="spellStart"/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співвиробництво</w:t>
      </w:r>
      <w:proofErr w:type="spellEnd"/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або домовленість про ліцензійне виробництво (надалі – експорт). Обсяг експортного та іншого пов’язаного з цим контролю включає дослідницьку діяльність, конструювання, розробку, інженерне забезпечення, виготовлення, виробництво, складання, випробування, ремонт, технічне обслуговування, проведення регламентних робіт, модифікацію, удосконалення, модернізацію, експлуатацію, використання, заміну або </w:t>
      </w:r>
      <w:proofErr w:type="spellStart"/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дооснащення</w:t>
      </w:r>
      <w:proofErr w:type="spellEnd"/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, демілітаризацію та ліквідацію ПЗРК, технічні дані, програмне забезпечення, технічну допомогу, демонстрацію та навчання, пов’язані з цими функціями, а також безпечне транспортування та зберігання. Цей обсяг відповідно до законодавств держав-учасниць ВД може також стосуватися інвестування, маркетингу, реклами та іншої пов’язаної з ПЗРК діяльності.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ВД стала доповненням до вже існуючих міжнародних режимів контролю за нерозповсюдженням зброї масового знищення (далі - ЗМЗ).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Контроль за міжнародними передачами звичайних озброєнь та товарів подвійного використання в рамках ВД здійснюється у відповідності до прийнятих під час засновницького пленарного засідання у липні 1996 року керівних принципів (Початкових положень) та узгоджених переліків відповідних товарів.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Держави, що приєдналися до ВД, погодилися здійснювати на добровільній та конфіденційній основі обмін чутливою інформацією про експорт та імпорт товарів, здійснювати консультації щодо передач ТВП та окремих категорій ТПВ, а також сприяти  встановленню </w:t>
      </w:r>
      <w:proofErr w:type="spellStart"/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взаємопорозуміння</w:t>
      </w:r>
      <w:proofErr w:type="spellEnd"/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при можливих ризиках таких передач.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lastRenderedPageBreak/>
        <w:t xml:space="preserve">На виконання міжнародних зобов’язань, обумовлених участю у ВД, держави-учасниці </w:t>
      </w:r>
      <w:proofErr w:type="spellStart"/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щопівроку</w:t>
      </w:r>
      <w:proofErr w:type="spellEnd"/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розміщують в інформаційній системі Режиму звіти про передачі або відмови у передачах окремих товарів до держав-</w:t>
      </w:r>
      <w:proofErr w:type="spellStart"/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неучасниць</w:t>
      </w:r>
      <w:proofErr w:type="spellEnd"/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ВД, а саме: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наданих дозволів на експорт окремих категорій звичайних озброєнь (звітні до Регістру звичайних озброєнь ООН категорії, у тому числі стрілецька зброя та легкі озброєння), внесених до Списку товарів військового призначення ВД;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наданих дозволів або здійснених міжнародних передач "чутливих" та "дуже чутливих" товарів, внесених до Списку товарів і технологій подвійного використання ВД;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відмов у наданні дозволів на передачу товарів, внесених до Списку товарів і технологій подвійного використання ВД;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відмов у наданні дозволів на експорт "чутливих" та "дуже чутливих", внесених до Списку товарів і технологій подвійного використання ВД;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наданих дозволів на здійснення по суті ідентичних передач "чутливих" та "дуже чутливих", внесених до Списку товарів і технологій подвійного використання ВД, відносно яких у попередній трирічний період було відмовлено іншою державою-учасницею.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Процедури ліцензування міжнародних передач товарів здійснюються на основі національних законодавств сторін.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Основою ВД є відповідні контрольні списки товарів військового призначення та товарів подвійного використання.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Станом на квітень 2020 року участь у міжнародному режимі експортного контролю „Вассенаарська домовленість” приймає 42 держави, а саме: Австралія, Австрія, Аргентина, Бельгія, Болгарія, Великобританія, Греція, Данія, Естонія, Індія, Ірландія, Іспанія, Італія, Канада, Латвія, Литва, Люксембург, Мальта, Мексика, Нідерланди, Німеччина, Нова Зеландія, Норвегія, Південно-Африканська Республіка, Польща, Португалія, Республіка Корея (Південна), Російська Федерація, Румунія, Словаччина, Словенія, Сполучені Штати Америки, Туреччина, Угорщина, Україна, Фінляндія, Франція, Хорватія, Чехія, Швейцарія, Швеція та Японія.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Структура режиму Вассенаарська домовленість та основні категорії товарів, що контролюються цим режимом, наведені на </w:t>
      </w:r>
      <w:proofErr w:type="spellStart"/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мал</w:t>
      </w:r>
      <w:proofErr w:type="spellEnd"/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 2.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FE3675" w:rsidRPr="00FE3675" w:rsidRDefault="00FE3675" w:rsidP="00FE3675">
      <w:pPr>
        <w:shd w:val="clear" w:color="auto" w:fill="FFFFFF"/>
        <w:spacing w:after="0" w:line="240" w:lineRule="auto"/>
        <w:ind w:left="12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E3675">
        <w:rPr>
          <w:rFonts w:ascii="Arial" w:eastAsia="Times New Roman" w:hAnsi="Arial" w:cs="Arial"/>
          <w:noProof/>
          <w:color w:val="000000"/>
          <w:sz w:val="20"/>
          <w:szCs w:val="20"/>
          <w:lang w:eastAsia="uk-UA"/>
        </w:rPr>
        <w:drawing>
          <wp:inline distT="0" distB="0" distL="0" distR="0" wp14:anchorId="5EF27CF4" wp14:editId="7678437C">
            <wp:extent cx="5810250" cy="5124450"/>
            <wp:effectExtent l="0" t="0" r="0" b="0"/>
            <wp:docPr id="2" name="Рисунок 2" descr="http://www.dsecu.gov.ua/img/publishing/?id=47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secu.gov.ua/img/publishing/?id=471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2D" w:rsidRDefault="00FE3675"/>
    <w:sectPr w:rsidR="004B46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75"/>
    <w:rsid w:val="00995E0E"/>
    <w:rsid w:val="009C7289"/>
    <w:rsid w:val="00F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EE1E8-D140-4C48-AA08-DB463992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4663</Words>
  <Characters>2659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Galyna Davydenko</dc:creator>
  <cp:keywords/>
  <dc:description/>
  <cp:lastModifiedBy>Galyna Davydenko</cp:lastModifiedBy>
  <cp:revision>1</cp:revision>
  <dcterms:created xsi:type="dcterms:W3CDTF">2020-05-08T07:29:00Z</dcterms:created>
  <dcterms:modified xsi:type="dcterms:W3CDTF">2020-05-08T07:29:00Z</dcterms:modified>
</cp:coreProperties>
</file>